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7F5E2" w14:textId="77777777" w:rsidR="005368B1" w:rsidRPr="00A602BD" w:rsidRDefault="005368B1" w:rsidP="005368B1">
      <w:pPr>
        <w:shd w:val="clear" w:color="auto" w:fill="DAEEF3" w:themeFill="accent5" w:themeFillTint="33"/>
        <w:spacing w:after="0" w:line="240" w:lineRule="auto"/>
        <w:jc w:val="both"/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</w:pPr>
    </w:p>
    <w:p w14:paraId="36327CF1" w14:textId="0A507ADD" w:rsidR="00AA1824" w:rsidRPr="00A602BD" w:rsidRDefault="00170259" w:rsidP="005368B1">
      <w:pPr>
        <w:shd w:val="clear" w:color="auto" w:fill="DAEEF3" w:themeFill="accent5" w:themeFillTint="33"/>
        <w:spacing w:after="0" w:line="240" w:lineRule="auto"/>
        <w:jc w:val="both"/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</w:pPr>
      <w:r w:rsidRPr="00A602BD"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  <w:t>ANEXA 3 DEFINIȚIILE INDICATORILOR DE REZULTAT ȘI REALIZARE</w:t>
      </w:r>
    </w:p>
    <w:p w14:paraId="7C0F2554" w14:textId="77777777" w:rsidR="005368B1" w:rsidRPr="00A602BD" w:rsidRDefault="005368B1" w:rsidP="005368B1">
      <w:pPr>
        <w:shd w:val="clear" w:color="auto" w:fill="DAEEF3" w:themeFill="accent5" w:themeFillTint="33"/>
        <w:spacing w:after="0" w:line="240" w:lineRule="auto"/>
        <w:jc w:val="both"/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</w:pPr>
    </w:p>
    <w:p w14:paraId="03A63253" w14:textId="77777777" w:rsidR="005368B1" w:rsidRPr="00A602BD" w:rsidRDefault="005368B1" w:rsidP="005368B1">
      <w:pPr>
        <w:spacing w:after="0" w:line="240" w:lineRule="auto"/>
        <w:jc w:val="both"/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</w:pPr>
    </w:p>
    <w:p w14:paraId="1EBFD975" w14:textId="77777777" w:rsidR="00170259" w:rsidRPr="00A602BD" w:rsidRDefault="00170259" w:rsidP="005368B1">
      <w:pPr>
        <w:spacing w:after="0" w:line="240" w:lineRule="auto"/>
        <w:jc w:val="both"/>
        <w:rPr>
          <w:rFonts w:ascii="Trebuchet MS" w:hAnsi="Trebuchet MS" w:cs="Times New Roman"/>
          <w:color w:val="244061" w:themeColor="accent1" w:themeShade="80"/>
          <w:sz w:val="20"/>
          <w:szCs w:val="20"/>
        </w:rPr>
      </w:pPr>
    </w:p>
    <w:tbl>
      <w:tblPr>
        <w:tblStyle w:val="Tabelgril"/>
        <w:tblW w:w="13994" w:type="dxa"/>
        <w:tblLook w:val="04A0" w:firstRow="1" w:lastRow="0" w:firstColumn="1" w:lastColumn="0" w:noHBand="0" w:noVBand="1"/>
      </w:tblPr>
      <w:tblGrid>
        <w:gridCol w:w="798"/>
        <w:gridCol w:w="1189"/>
        <w:gridCol w:w="3710"/>
        <w:gridCol w:w="8297"/>
      </w:tblGrid>
      <w:tr w:rsidR="00A602BD" w:rsidRPr="00A602BD" w14:paraId="44ABD9AE" w14:textId="77777777" w:rsidTr="0043010A">
        <w:tc>
          <w:tcPr>
            <w:tcW w:w="79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9F006E9" w14:textId="77777777" w:rsidR="00046A51" w:rsidRPr="00A602BD" w:rsidRDefault="00046A51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Cod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1845FEED" w14:textId="77777777" w:rsidR="00046A51" w:rsidRPr="00A602BD" w:rsidRDefault="00046A51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Tip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0517B40" w14:textId="77777777" w:rsidR="00046A51" w:rsidRPr="00A602BD" w:rsidRDefault="00046A51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Denumite indicator</w:t>
            </w:r>
          </w:p>
        </w:tc>
        <w:tc>
          <w:tcPr>
            <w:tcW w:w="829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0F22615" w14:textId="77777777" w:rsidR="00046A51" w:rsidRPr="00A602BD" w:rsidRDefault="00046A51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Definiția indicatorului</w:t>
            </w:r>
          </w:p>
        </w:tc>
      </w:tr>
      <w:tr w:rsidR="00A602BD" w:rsidRPr="00A602BD" w14:paraId="036EABD8" w14:textId="77777777" w:rsidTr="0043010A">
        <w:trPr>
          <w:trHeight w:val="218"/>
        </w:trPr>
        <w:tc>
          <w:tcPr>
            <w:tcW w:w="798" w:type="dxa"/>
            <w:shd w:val="clear" w:color="auto" w:fill="B6DDE8" w:themeFill="accent5" w:themeFillTint="66"/>
          </w:tcPr>
          <w:p w14:paraId="4C0A20D7" w14:textId="77777777" w:rsidR="00046A51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4S89</w:t>
            </w:r>
          </w:p>
        </w:tc>
        <w:tc>
          <w:tcPr>
            <w:tcW w:w="1189" w:type="dxa"/>
            <w:shd w:val="clear" w:color="auto" w:fill="B6DDE8" w:themeFill="accent5" w:themeFillTint="66"/>
          </w:tcPr>
          <w:p w14:paraId="3B9AA309" w14:textId="77777777" w:rsidR="004371A5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Realizare</w:t>
            </w:r>
          </w:p>
        </w:tc>
        <w:tc>
          <w:tcPr>
            <w:tcW w:w="3710" w:type="dxa"/>
            <w:shd w:val="clear" w:color="auto" w:fill="B6DDE8" w:themeFill="accent5" w:themeFillTint="66"/>
          </w:tcPr>
          <w:p w14:paraId="366D5C53" w14:textId="77777777" w:rsidR="00A4365C" w:rsidRPr="00A602BD" w:rsidRDefault="005D2F1A" w:rsidP="005368B1">
            <w:pPr>
              <w:pStyle w:val="Listparagraf"/>
              <w:autoSpaceDE w:val="0"/>
              <w:autoSpaceDN w:val="0"/>
              <w:adjustRightInd w:val="0"/>
              <w:ind w:left="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4S89 - Cadru instituțional la nivel de educație timpurie elaborat</w:t>
            </w:r>
          </w:p>
        </w:tc>
        <w:tc>
          <w:tcPr>
            <w:tcW w:w="8297" w:type="dxa"/>
            <w:shd w:val="clear" w:color="auto" w:fill="B6DDE8" w:themeFill="accent5" w:themeFillTint="66"/>
          </w:tcPr>
          <w:p w14:paraId="1C7B9DA4" w14:textId="77777777" w:rsidR="00E460E7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Acest indicator reprezintă un cadru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instituţional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la nivel de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educaţie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timpurie care a fost elaborat cu sprijin FSE în regiunile de dezvoltare eligibile, în cadrul Obiectivului Specific 6.2.</w:t>
            </w:r>
          </w:p>
          <w:p w14:paraId="195F5E49" w14:textId="77777777" w:rsidR="0043010A" w:rsidRPr="00A602BD" w:rsidRDefault="0043010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</w:p>
          <w:p w14:paraId="477088D6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EXPLICAȚIILE TERMENILOR</w:t>
            </w:r>
          </w:p>
          <w:p w14:paraId="5C5B088F" w14:textId="6725CA42" w:rsidR="005D2F1A" w:rsidRPr="00A602BD" w:rsidRDefault="005D2F1A" w:rsidP="005368B1">
            <w:pPr>
              <w:pStyle w:val="Listparagraf"/>
              <w:numPr>
                <w:ilvl w:val="0"/>
                <w:numId w:val="28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Cadrul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instituţional</w:t>
            </w:r>
            <w:proofErr w:type="spellEnd"/>
            <w:r w:rsidR="00AA025A"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1"/>
            </w:r>
            <w:r w:rsidRPr="00A602BD"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14:paraId="69D09EF2" w14:textId="6F6DECE4" w:rsidR="005D2F1A" w:rsidRPr="00A602BD" w:rsidRDefault="00A602BD" w:rsidP="00A602BD">
            <w:pPr>
              <w:pStyle w:val="Listparagraf"/>
              <w:numPr>
                <w:ilvl w:val="0"/>
                <w:numId w:val="28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EICP</w:t>
            </w:r>
          </w:p>
        </w:tc>
      </w:tr>
      <w:tr w:rsidR="00A602BD" w:rsidRPr="00A602BD" w14:paraId="1BE9E898" w14:textId="77777777" w:rsidTr="0043010A">
        <w:trPr>
          <w:trHeight w:val="201"/>
        </w:trPr>
        <w:tc>
          <w:tcPr>
            <w:tcW w:w="798" w:type="dxa"/>
            <w:shd w:val="clear" w:color="auto" w:fill="B6DDE8" w:themeFill="accent5" w:themeFillTint="66"/>
          </w:tcPr>
          <w:p w14:paraId="47C32F98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4S75</w:t>
            </w:r>
          </w:p>
        </w:tc>
        <w:tc>
          <w:tcPr>
            <w:tcW w:w="1189" w:type="dxa"/>
            <w:shd w:val="clear" w:color="auto" w:fill="B6DDE8" w:themeFill="accent5" w:themeFillTint="66"/>
          </w:tcPr>
          <w:p w14:paraId="2605C7EA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Rezultat</w:t>
            </w:r>
          </w:p>
        </w:tc>
        <w:tc>
          <w:tcPr>
            <w:tcW w:w="3710" w:type="dxa"/>
            <w:shd w:val="clear" w:color="auto" w:fill="B6DDE8" w:themeFill="accent5" w:themeFillTint="66"/>
          </w:tcPr>
          <w:p w14:paraId="46D332DA" w14:textId="77777777" w:rsidR="005D2F1A" w:rsidRPr="00A602BD" w:rsidRDefault="005D2F1A" w:rsidP="005368B1">
            <w:pPr>
              <w:pStyle w:val="Listparagraf"/>
              <w:autoSpaceDE w:val="0"/>
              <w:autoSpaceDN w:val="0"/>
              <w:adjustRightInd w:val="0"/>
              <w:ind w:left="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4S75 - Cadru instituțional la nivel de educație timpurie implementat</w:t>
            </w:r>
          </w:p>
        </w:tc>
        <w:tc>
          <w:tcPr>
            <w:tcW w:w="8297" w:type="dxa"/>
            <w:shd w:val="clear" w:color="auto" w:fill="B6DDE8" w:themeFill="accent5" w:themeFillTint="66"/>
          </w:tcPr>
          <w:p w14:paraId="2F529CAE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Acest indicator reprezintă un cadru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instituţional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la nivel de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educaţie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timpurie care a fost implementat cu sprijinul FSE în regiunile de dezvoltare eligibile, în cadrul Obiectivului Specific 6.2.</w:t>
            </w:r>
          </w:p>
          <w:p w14:paraId="0F517DA1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</w:p>
          <w:p w14:paraId="444D48BA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EXPLICAȚIILE TERMENILOR</w:t>
            </w:r>
          </w:p>
          <w:p w14:paraId="5CB29442" w14:textId="094A4012" w:rsidR="005D2F1A" w:rsidRPr="00A602BD" w:rsidRDefault="0043010A" w:rsidP="005368B1">
            <w:pPr>
              <w:pStyle w:val="Listparagraf"/>
              <w:numPr>
                <w:ilvl w:val="0"/>
                <w:numId w:val="30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Cadrul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instituţional</w:t>
            </w:r>
            <w:proofErr w:type="spellEnd"/>
          </w:p>
          <w:p w14:paraId="4AE3B029" w14:textId="008899BB" w:rsidR="005D2F1A" w:rsidRPr="00A602BD" w:rsidRDefault="0043010A" w:rsidP="005368B1">
            <w:pPr>
              <w:pStyle w:val="Listparagraf"/>
              <w:numPr>
                <w:ilvl w:val="0"/>
                <w:numId w:val="30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Educația timpurie (EICP)</w:t>
            </w:r>
            <w:r w:rsidR="005D2F1A"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</w:p>
        </w:tc>
      </w:tr>
      <w:tr w:rsidR="00A602BD" w:rsidRPr="00A602BD" w14:paraId="73EB9238" w14:textId="77777777" w:rsidTr="0043010A">
        <w:trPr>
          <w:trHeight w:val="335"/>
        </w:trPr>
        <w:tc>
          <w:tcPr>
            <w:tcW w:w="798" w:type="dxa"/>
            <w:shd w:val="clear" w:color="auto" w:fill="FABF8F" w:themeFill="accent6" w:themeFillTint="99"/>
          </w:tcPr>
          <w:p w14:paraId="778CBE92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4S90</w:t>
            </w:r>
          </w:p>
        </w:tc>
        <w:tc>
          <w:tcPr>
            <w:tcW w:w="1189" w:type="dxa"/>
            <w:shd w:val="clear" w:color="auto" w:fill="FABF8F" w:themeFill="accent6" w:themeFillTint="99"/>
          </w:tcPr>
          <w:p w14:paraId="6D77DF72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Realizare</w:t>
            </w:r>
          </w:p>
        </w:tc>
        <w:tc>
          <w:tcPr>
            <w:tcW w:w="3710" w:type="dxa"/>
            <w:shd w:val="clear" w:color="auto" w:fill="FABF8F" w:themeFill="accent6" w:themeFillTint="99"/>
          </w:tcPr>
          <w:p w14:paraId="2AC414B9" w14:textId="6F9003F2" w:rsidR="005D2F1A" w:rsidRPr="00A602BD" w:rsidRDefault="005D2F1A" w:rsidP="006B5C42">
            <w:pPr>
              <w:pStyle w:val="Listparagraf"/>
              <w:autoSpaceDE w:val="0"/>
              <w:autoSpaceDN w:val="0"/>
              <w:adjustRightInd w:val="0"/>
              <w:ind w:left="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4S90 - Cadru curricular</w:t>
            </w:r>
            <w:r w:rsidR="005368B1"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  <w:r w:rsidR="006B5C42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național</w:t>
            </w:r>
            <w:r w:rsidR="005368B1"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la nivel de educație timpurie elaborat</w:t>
            </w:r>
          </w:p>
        </w:tc>
        <w:tc>
          <w:tcPr>
            <w:tcW w:w="8297" w:type="dxa"/>
            <w:shd w:val="clear" w:color="auto" w:fill="FABF8F" w:themeFill="accent6" w:themeFillTint="99"/>
          </w:tcPr>
          <w:p w14:paraId="3F5BBDDF" w14:textId="4739E24F" w:rsidR="005D2F1A" w:rsidRPr="00A602BD" w:rsidRDefault="00B1480C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Acest indicator reprezintă un cadru curricular la nivel de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educaţie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timpurie care a fost elaborat cu sprijinul FSE la nivelul regiunile de dezvoltare eligibile, în cadrul Obiectivului Specific 6.2.</w:t>
            </w:r>
          </w:p>
          <w:p w14:paraId="3D8FE47C" w14:textId="77777777" w:rsidR="00B1480C" w:rsidRPr="00A602BD" w:rsidRDefault="00B1480C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</w:p>
          <w:p w14:paraId="543D4608" w14:textId="77777777" w:rsidR="00B1480C" w:rsidRPr="00A602BD" w:rsidRDefault="00B1480C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EXPLICAȚIILE TERMENILOR</w:t>
            </w:r>
          </w:p>
          <w:p w14:paraId="38849485" w14:textId="6FDEB7A2" w:rsidR="00B1480C" w:rsidRPr="00A602BD" w:rsidRDefault="00B1480C" w:rsidP="005368B1">
            <w:pPr>
              <w:pStyle w:val="Listparagraf"/>
              <w:numPr>
                <w:ilvl w:val="0"/>
                <w:numId w:val="31"/>
              </w:numPr>
              <w:ind w:left="711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Curriculumul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naţional</w:t>
            </w:r>
            <w:proofErr w:type="spellEnd"/>
            <w:r w:rsidR="006B0DF1"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2"/>
            </w:r>
          </w:p>
          <w:p w14:paraId="5C278A25" w14:textId="4E37A835" w:rsidR="00B1480C" w:rsidRPr="00A602BD" w:rsidRDefault="00B1480C" w:rsidP="006B5C42">
            <w:pPr>
              <w:pStyle w:val="Listparagraf"/>
              <w:numPr>
                <w:ilvl w:val="0"/>
                <w:numId w:val="31"/>
              </w:numPr>
              <w:ind w:left="711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Educația timpurie (EICP) </w:t>
            </w:r>
          </w:p>
        </w:tc>
      </w:tr>
      <w:tr w:rsidR="00A602BD" w:rsidRPr="00A602BD" w14:paraId="042ECA13" w14:textId="77777777" w:rsidTr="006E0D54">
        <w:trPr>
          <w:trHeight w:val="1975"/>
        </w:trPr>
        <w:tc>
          <w:tcPr>
            <w:tcW w:w="798" w:type="dxa"/>
            <w:shd w:val="clear" w:color="auto" w:fill="FABF8F" w:themeFill="accent6" w:themeFillTint="99"/>
          </w:tcPr>
          <w:p w14:paraId="2F5553F3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lastRenderedPageBreak/>
              <w:t>4S76</w:t>
            </w:r>
          </w:p>
        </w:tc>
        <w:tc>
          <w:tcPr>
            <w:tcW w:w="1189" w:type="dxa"/>
            <w:shd w:val="clear" w:color="auto" w:fill="FABF8F" w:themeFill="accent6" w:themeFillTint="99"/>
          </w:tcPr>
          <w:p w14:paraId="77825070" w14:textId="77777777" w:rsidR="005D2F1A" w:rsidRPr="00A602BD" w:rsidRDefault="005D2F1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Rezultat</w:t>
            </w:r>
          </w:p>
        </w:tc>
        <w:tc>
          <w:tcPr>
            <w:tcW w:w="3710" w:type="dxa"/>
            <w:shd w:val="clear" w:color="auto" w:fill="FABF8F" w:themeFill="accent6" w:themeFillTint="99"/>
          </w:tcPr>
          <w:p w14:paraId="5D54DD9C" w14:textId="2845136F" w:rsidR="005D2F1A" w:rsidRPr="00A602BD" w:rsidRDefault="005D2F1A" w:rsidP="00571089">
            <w:pPr>
              <w:pStyle w:val="Listparagraf"/>
              <w:autoSpaceDE w:val="0"/>
              <w:autoSpaceDN w:val="0"/>
              <w:adjustRightInd w:val="0"/>
              <w:ind w:left="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4S76 - Cadru curricular </w:t>
            </w:r>
            <w:r w:rsidR="00571089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național</w:t>
            </w:r>
            <w:r w:rsidR="005368B1"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la nivel de educație timpurie implementat</w:t>
            </w:r>
          </w:p>
        </w:tc>
        <w:tc>
          <w:tcPr>
            <w:tcW w:w="8297" w:type="dxa"/>
            <w:shd w:val="clear" w:color="auto" w:fill="FABF8F" w:themeFill="accent6" w:themeFillTint="99"/>
          </w:tcPr>
          <w:p w14:paraId="1BC68C81" w14:textId="12ABDBC6" w:rsidR="005D2F1A" w:rsidRPr="00A602BD" w:rsidRDefault="00B1480C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Acest indicator reprezintă un cadru curricular la nivel de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educaţie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timpurie care a fost implementat cu sprijinul FSE la nivelul regiunile de dezvoltare eligibile, în cadrul Obiectivului Specific 6.2.</w:t>
            </w:r>
          </w:p>
          <w:p w14:paraId="2B08FABF" w14:textId="77777777" w:rsidR="00B1480C" w:rsidRPr="00A602BD" w:rsidRDefault="00B1480C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</w:p>
          <w:p w14:paraId="1288289D" w14:textId="77777777" w:rsidR="00B1480C" w:rsidRPr="00A602BD" w:rsidRDefault="00B1480C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EXPLICAȚIILE TERMENILOR</w:t>
            </w:r>
          </w:p>
          <w:p w14:paraId="4FA77300" w14:textId="1966CD70" w:rsidR="00B1480C" w:rsidRPr="00A602BD" w:rsidRDefault="0043010A" w:rsidP="005368B1">
            <w:pPr>
              <w:pStyle w:val="Listparagraf"/>
              <w:numPr>
                <w:ilvl w:val="0"/>
                <w:numId w:val="32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Curriculumul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naţional</w:t>
            </w:r>
            <w:proofErr w:type="spellEnd"/>
            <w:r w:rsidR="00B1480C"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14:paraId="65F3996B" w14:textId="20EA8ACB" w:rsidR="00B1480C" w:rsidRPr="00A602BD" w:rsidRDefault="0043010A" w:rsidP="005368B1">
            <w:pPr>
              <w:pStyle w:val="Listparagraf"/>
              <w:numPr>
                <w:ilvl w:val="0"/>
                <w:numId w:val="32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Cadrul curricular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naţional</w:t>
            </w:r>
            <w:proofErr w:type="spellEnd"/>
            <w:r w:rsidR="006B0DF1"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3"/>
            </w:r>
          </w:p>
          <w:p w14:paraId="6B0399C3" w14:textId="17E40041" w:rsidR="00E24453" w:rsidRPr="00A602BD" w:rsidRDefault="006B0DF1" w:rsidP="00F721DD">
            <w:pPr>
              <w:pStyle w:val="Listparagraf"/>
              <w:numPr>
                <w:ilvl w:val="0"/>
                <w:numId w:val="32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Educația timpurie (EICP) </w:t>
            </w:r>
          </w:p>
        </w:tc>
      </w:tr>
      <w:tr w:rsidR="00A602BD" w:rsidRPr="00A602BD" w14:paraId="2A8035BE" w14:textId="77777777" w:rsidTr="0043010A">
        <w:trPr>
          <w:trHeight w:val="978"/>
        </w:trPr>
        <w:tc>
          <w:tcPr>
            <w:tcW w:w="798" w:type="dxa"/>
            <w:shd w:val="clear" w:color="auto" w:fill="F2DBDB" w:themeFill="accent2" w:themeFillTint="33"/>
          </w:tcPr>
          <w:p w14:paraId="120AF4AD" w14:textId="77777777" w:rsidR="00E24453" w:rsidRPr="00A602BD" w:rsidRDefault="00E24453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4S94</w:t>
            </w:r>
          </w:p>
        </w:tc>
        <w:tc>
          <w:tcPr>
            <w:tcW w:w="1189" w:type="dxa"/>
            <w:shd w:val="clear" w:color="auto" w:fill="F2DBDB" w:themeFill="accent2" w:themeFillTint="33"/>
          </w:tcPr>
          <w:p w14:paraId="4959460C" w14:textId="77777777" w:rsidR="00E24453" w:rsidRPr="00A602BD" w:rsidRDefault="00E24453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Realizare</w:t>
            </w:r>
          </w:p>
        </w:tc>
        <w:tc>
          <w:tcPr>
            <w:tcW w:w="3710" w:type="dxa"/>
            <w:shd w:val="clear" w:color="auto" w:fill="F2DBDB" w:themeFill="accent2" w:themeFillTint="33"/>
          </w:tcPr>
          <w:p w14:paraId="00E112DB" w14:textId="77777777" w:rsidR="00E24453" w:rsidRPr="00A602BD" w:rsidRDefault="00E24453" w:rsidP="005368B1">
            <w:pPr>
              <w:pStyle w:val="Listparagraf"/>
              <w:autoSpaceDE w:val="0"/>
              <w:autoSpaceDN w:val="0"/>
              <w:adjustRightInd w:val="0"/>
              <w:ind w:left="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4S94 - Personal didactic/ personal de sprijin care beneficiază de programe de formare/ schimb de bune practici etc</w:t>
            </w:r>
          </w:p>
        </w:tc>
        <w:tc>
          <w:tcPr>
            <w:tcW w:w="8297" w:type="dxa"/>
            <w:shd w:val="clear" w:color="auto" w:fill="F2DBDB" w:themeFill="accent2" w:themeFillTint="33"/>
          </w:tcPr>
          <w:p w14:paraId="3E545DD9" w14:textId="77777777" w:rsidR="0043010A" w:rsidRPr="00A602BD" w:rsidRDefault="0043010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Acest indicator reprezintă numărul de persoane care beneficiază de programe de formare / schimb de bune practici, au fost sprijinite direct în cadrul Obiectivului Specific 6.6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şi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care, la data intrării în operațiunile FSE, îndeplinesc cumulativ următoarele criterii:</w:t>
            </w:r>
          </w:p>
          <w:p w14:paraId="45A12CFE" w14:textId="77777777" w:rsidR="0043010A" w:rsidRPr="00A602BD" w:rsidRDefault="0043010A" w:rsidP="005368B1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activează în una din regiunile de dezvoltare eligibile;</w:t>
            </w:r>
          </w:p>
          <w:p w14:paraId="5347D9F9" w14:textId="77777777" w:rsidR="0043010A" w:rsidRPr="00A602BD" w:rsidRDefault="0043010A" w:rsidP="005368B1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sunt personal didactic / personal de sprijin etc. din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învăţământul</w:t>
            </w:r>
            <w:proofErr w:type="spellEnd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preuniversitar.</w:t>
            </w:r>
          </w:p>
          <w:p w14:paraId="06820D29" w14:textId="77777777" w:rsidR="0043010A" w:rsidRPr="00A602BD" w:rsidRDefault="0043010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</w:p>
          <w:p w14:paraId="463FA05B" w14:textId="77777777" w:rsidR="0043010A" w:rsidRPr="00A602BD" w:rsidRDefault="0043010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EXPLICAȚIILE TERMENILOR</w:t>
            </w:r>
          </w:p>
          <w:p w14:paraId="11F7A152" w14:textId="60DB44AB" w:rsidR="0043010A" w:rsidRPr="00A602BD" w:rsidRDefault="0043010A" w:rsidP="005368B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Personalul din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învăţământul</w:t>
            </w:r>
            <w:proofErr w:type="spellEnd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preuniversitar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4"/>
            </w:r>
          </w:p>
          <w:p w14:paraId="63F48D98" w14:textId="56E6336E" w:rsidR="0043010A" w:rsidRPr="00A602BD" w:rsidRDefault="0043010A" w:rsidP="005368B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Personalul didactic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5"/>
            </w:r>
          </w:p>
          <w:p w14:paraId="37E8F302" w14:textId="584FDE99" w:rsidR="0043010A" w:rsidRPr="00A602BD" w:rsidRDefault="0043010A" w:rsidP="005368B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Personalul didactic auxiliar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6"/>
            </w:r>
          </w:p>
          <w:p w14:paraId="7EBF780D" w14:textId="0B1B730B" w:rsidR="0043010A" w:rsidRPr="00A602BD" w:rsidRDefault="0043010A" w:rsidP="005368B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Programele de formare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7"/>
            </w: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14:paraId="126D933F" w14:textId="77777777" w:rsidR="0043010A" w:rsidRPr="00A602BD" w:rsidRDefault="0043010A" w:rsidP="005368B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lastRenderedPageBreak/>
              <w:t xml:space="preserve">Schimburi de bune practici 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8"/>
            </w:r>
            <w:r w:rsidRPr="00A602BD"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14:paraId="77E9C810" w14:textId="496F8CA4" w:rsidR="0043010A" w:rsidRPr="00A602BD" w:rsidRDefault="0043010A" w:rsidP="005368B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Data intrării în operațiunile FSE  </w:t>
            </w:r>
          </w:p>
          <w:p w14:paraId="41E93417" w14:textId="57735122" w:rsidR="00E24453" w:rsidRPr="00A602BD" w:rsidRDefault="0043010A" w:rsidP="006E0D54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Operațiune </w:t>
            </w:r>
          </w:p>
        </w:tc>
      </w:tr>
      <w:tr w:rsidR="00A602BD" w:rsidRPr="00A602BD" w14:paraId="7B1FA624" w14:textId="77777777" w:rsidTr="0043010A">
        <w:tc>
          <w:tcPr>
            <w:tcW w:w="798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139A7645" w14:textId="77777777" w:rsidR="00046A51" w:rsidRPr="00A602BD" w:rsidRDefault="00F51876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lastRenderedPageBreak/>
              <w:t>4S86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27B7EA0B" w14:textId="77777777" w:rsidR="00046A51" w:rsidRPr="00A602BD" w:rsidRDefault="00F51876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Rezultat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559A6B95" w14:textId="77777777" w:rsidR="00D64836" w:rsidRPr="00A602BD" w:rsidRDefault="00F51876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4S86 - </w:t>
            </w:r>
            <w:r w:rsidR="00230DB2"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Personal didactic/ personal de sprijin care și-a îmbunătățit nivelul de competente/ certificat</w:t>
            </w:r>
          </w:p>
        </w:tc>
        <w:tc>
          <w:tcPr>
            <w:tcW w:w="829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2421438" w14:textId="77777777" w:rsidR="0043010A" w:rsidRPr="00A602BD" w:rsidRDefault="0043010A" w:rsidP="005368B1">
            <w:pPr>
              <w:ind w:left="-60"/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Acest indicator reprezintă numărul de persoane care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şi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-a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îmbunătăţit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sau certificat nivelul de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competenţe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, au fost sprijinite direct în cadrul Obiectivului Specific 6.6 </w:t>
            </w:r>
            <w:proofErr w:type="spellStart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şi</w:t>
            </w:r>
            <w:proofErr w:type="spellEnd"/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care, la data intrării în operațiunile FSE, îndeplinesc cumulativ următoarele criterii:</w:t>
            </w:r>
          </w:p>
          <w:p w14:paraId="3C0E4BB6" w14:textId="77777777" w:rsidR="0043010A" w:rsidRPr="00A602BD" w:rsidRDefault="0043010A" w:rsidP="005368B1">
            <w:pPr>
              <w:pStyle w:val="Listparagraf"/>
              <w:numPr>
                <w:ilvl w:val="0"/>
                <w:numId w:val="12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activează în una din regiunile de dezvoltare eligibile;</w:t>
            </w:r>
          </w:p>
          <w:p w14:paraId="0B7B54C6" w14:textId="77777777" w:rsidR="0043010A" w:rsidRPr="00A602BD" w:rsidRDefault="0043010A" w:rsidP="005368B1">
            <w:pPr>
              <w:pStyle w:val="Listparagraf"/>
              <w:numPr>
                <w:ilvl w:val="0"/>
                <w:numId w:val="12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sunt personal didactic / personal de sprijin etc. din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învăţământul</w:t>
            </w:r>
            <w:proofErr w:type="spellEnd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preuniversitar.</w:t>
            </w:r>
          </w:p>
          <w:p w14:paraId="156FD745" w14:textId="77777777" w:rsidR="0043010A" w:rsidRPr="00A602BD" w:rsidRDefault="0043010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</w:p>
          <w:p w14:paraId="7EA23366" w14:textId="77777777" w:rsidR="0043010A" w:rsidRPr="00A602BD" w:rsidRDefault="0043010A" w:rsidP="005368B1">
            <w:pPr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EXPLICAȚIILE TERMENILOR</w:t>
            </w:r>
          </w:p>
          <w:p w14:paraId="2F9ADF3E" w14:textId="7DFC7238" w:rsidR="0043010A" w:rsidRPr="00A602BD" w:rsidRDefault="0043010A" w:rsidP="005368B1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Personalul din </w:t>
            </w: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învăţământul</w:t>
            </w:r>
            <w:proofErr w:type="spellEnd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preuniversitar </w:t>
            </w:r>
          </w:p>
          <w:p w14:paraId="63732BDB" w14:textId="58B6CB9F" w:rsidR="0043010A" w:rsidRPr="00A602BD" w:rsidRDefault="0043010A" w:rsidP="005368B1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Personalul didactic </w:t>
            </w:r>
          </w:p>
          <w:p w14:paraId="546664B2" w14:textId="77AE8792" w:rsidR="0043010A" w:rsidRPr="00A602BD" w:rsidRDefault="0043010A" w:rsidP="005368B1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Personalul didactic auxiliar)</w:t>
            </w:r>
          </w:p>
          <w:p w14:paraId="7731EF55" w14:textId="77777777" w:rsidR="0043010A" w:rsidRPr="00A602BD" w:rsidRDefault="0043010A" w:rsidP="005368B1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proofErr w:type="spellStart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Competenţele</w:t>
            </w:r>
            <w:proofErr w:type="spellEnd"/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profesionale 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9"/>
            </w: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14:paraId="51B77495" w14:textId="77777777" w:rsidR="0043010A" w:rsidRPr="00A602BD" w:rsidRDefault="0043010A" w:rsidP="005368B1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Certificarea </w:t>
            </w:r>
            <w:r w:rsidRPr="00A602BD">
              <w:rPr>
                <w:rStyle w:val="Referinnotdesubsol"/>
                <w:rFonts w:ascii="Trebuchet MS" w:hAnsi="Trebuchet MS"/>
                <w:color w:val="244061" w:themeColor="accent1" w:themeShade="80"/>
                <w:sz w:val="20"/>
                <w:szCs w:val="20"/>
              </w:rPr>
              <w:footnoteReference w:id="10"/>
            </w: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14:paraId="353EA757" w14:textId="7D93F30E" w:rsidR="0043010A" w:rsidRPr="00A602BD" w:rsidRDefault="0043010A" w:rsidP="005368B1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Data intrării în operațiunile FSE </w:t>
            </w:r>
          </w:p>
          <w:p w14:paraId="4BE3BEE8" w14:textId="2FE06C94" w:rsidR="00F860C5" w:rsidRPr="00A602BD" w:rsidRDefault="0043010A" w:rsidP="006E0D54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  <w:sz w:val="20"/>
                <w:szCs w:val="20"/>
              </w:rPr>
            </w:pPr>
            <w:r w:rsidRPr="00A602BD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Operațiune </w:t>
            </w:r>
            <w:bookmarkStart w:id="0" w:name="_GoBack"/>
            <w:bookmarkEnd w:id="0"/>
          </w:p>
        </w:tc>
      </w:tr>
    </w:tbl>
    <w:p w14:paraId="28550862" w14:textId="7B97AE40" w:rsidR="00046A51" w:rsidRPr="00A602BD" w:rsidRDefault="00046A51" w:rsidP="005368B1">
      <w:pPr>
        <w:tabs>
          <w:tab w:val="left" w:pos="7950"/>
        </w:tabs>
        <w:spacing w:after="0" w:line="240" w:lineRule="auto"/>
        <w:rPr>
          <w:rFonts w:ascii="Trebuchet MS" w:hAnsi="Trebuchet MS" w:cs="Times New Roman"/>
          <w:color w:val="244061" w:themeColor="accent1" w:themeShade="80"/>
          <w:sz w:val="20"/>
          <w:szCs w:val="20"/>
        </w:rPr>
      </w:pPr>
    </w:p>
    <w:sectPr w:rsidR="00046A51" w:rsidRPr="00A602BD" w:rsidSect="0004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E5B2D" w14:textId="77777777" w:rsidR="00E52982" w:rsidRDefault="00E52982" w:rsidP="00321234">
      <w:pPr>
        <w:spacing w:after="0" w:line="240" w:lineRule="auto"/>
      </w:pPr>
      <w:r>
        <w:separator/>
      </w:r>
    </w:p>
  </w:endnote>
  <w:endnote w:type="continuationSeparator" w:id="0">
    <w:p w14:paraId="3FDC7401" w14:textId="77777777" w:rsidR="00E52982" w:rsidRDefault="00E52982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charset w:val="8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C6E3A" w14:textId="77777777" w:rsidR="00170259" w:rsidRDefault="0017025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b/>
      </w:rPr>
    </w:sdtEndPr>
    <w:sdtContent>
      <w:p w14:paraId="0CC3831F" w14:textId="77777777" w:rsidR="00F860C5" w:rsidRPr="000A046E" w:rsidRDefault="00F860C5">
        <w:pPr>
          <w:pStyle w:val="Subsol"/>
          <w:jc w:val="right"/>
          <w:rPr>
            <w:b/>
          </w:rPr>
        </w:pPr>
        <w:r w:rsidRPr="000A046E">
          <w:rPr>
            <w:b/>
          </w:rPr>
          <w:fldChar w:fldCharType="begin"/>
        </w:r>
        <w:r w:rsidRPr="000A046E">
          <w:rPr>
            <w:b/>
          </w:rPr>
          <w:instrText>PAGE   \* MERGEFORMAT</w:instrText>
        </w:r>
        <w:r w:rsidRPr="000A046E">
          <w:rPr>
            <w:b/>
          </w:rPr>
          <w:fldChar w:fldCharType="separate"/>
        </w:r>
        <w:r w:rsidR="006E0D54">
          <w:rPr>
            <w:b/>
            <w:noProof/>
          </w:rPr>
          <w:t>4</w:t>
        </w:r>
        <w:r w:rsidRPr="000A046E">
          <w:rPr>
            <w:b/>
          </w:rPr>
          <w:fldChar w:fldCharType="end"/>
        </w:r>
      </w:p>
    </w:sdtContent>
  </w:sdt>
  <w:p w14:paraId="4389F728" w14:textId="77777777" w:rsidR="00F860C5" w:rsidRDefault="00F860C5" w:rsidP="00AE3D62">
    <w:pPr>
      <w:pStyle w:val="Subsol"/>
      <w:jc w:val="center"/>
      <w:rPr>
        <w:rFonts w:ascii="Calibri" w:hAnsi="Calibri"/>
        <w:b/>
        <w:i/>
        <w:color w:val="1F4E79"/>
      </w:rPr>
    </w:pPr>
  </w:p>
  <w:p w14:paraId="2674965E" w14:textId="77777777" w:rsidR="00F860C5" w:rsidRDefault="00F860C5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26C70" w14:textId="77777777" w:rsidR="00170259" w:rsidRDefault="0017025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64A3A" w14:textId="77777777" w:rsidR="00E52982" w:rsidRDefault="00E52982" w:rsidP="00321234">
      <w:pPr>
        <w:spacing w:after="0" w:line="240" w:lineRule="auto"/>
      </w:pPr>
      <w:r>
        <w:separator/>
      </w:r>
    </w:p>
  </w:footnote>
  <w:footnote w:type="continuationSeparator" w:id="0">
    <w:p w14:paraId="35993CA8" w14:textId="77777777" w:rsidR="00E52982" w:rsidRDefault="00E52982" w:rsidP="00321234">
      <w:pPr>
        <w:spacing w:after="0" w:line="240" w:lineRule="auto"/>
      </w:pPr>
      <w:r>
        <w:continuationSeparator/>
      </w:r>
    </w:p>
  </w:footnote>
  <w:footnote w:id="1">
    <w:p w14:paraId="68876606" w14:textId="6E40CE5E" w:rsidR="00AA025A" w:rsidRPr="005368B1" w:rsidRDefault="00AA025A" w:rsidP="005368B1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„Cadrul </w:t>
      </w:r>
      <w:proofErr w:type="spellStart"/>
      <w:r w:rsidRPr="00407BAD">
        <w:rPr>
          <w:rFonts w:cs="Times New Roman"/>
          <w:b/>
          <w:color w:val="17365D" w:themeColor="text2" w:themeShade="BF"/>
          <w:sz w:val="20"/>
          <w:szCs w:val="20"/>
        </w:rPr>
        <w:t>instituţional</w:t>
      </w:r>
      <w:proofErr w:type="spellEnd"/>
      <w:r w:rsidRPr="00407BAD">
        <w:rPr>
          <w:rFonts w:cs="Times New Roman"/>
          <w:b/>
          <w:color w:val="17365D" w:themeColor="text2" w:themeShade="BF"/>
          <w:sz w:val="20"/>
          <w:szCs w:val="20"/>
        </w:rPr>
        <w:t>"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se referă la o lege, standarde, norme, proceduri, decizii, reglementări sau alte dispoziții oficiale care atribuie responsabilitatea principală, precum și autoritatea unei agenții pentru organizarea, finanțarea, monitorizarea și evaluarea procesului de învățământ, inclusiv colectarea, procesarea și diseminarea statisticilor; include, de asemenea, acorduri sau proceduri pentru a facilita schimbul de date și coordonarea între datele produse de agenții ("cerințe de raportare").</w:t>
      </w:r>
      <w:r w:rsidR="0043010A"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OECD, </w:t>
      </w:r>
      <w:hyperlink r:id="rId1" w:history="1">
        <w:r w:rsidRPr="00407BAD">
          <w:rPr>
            <w:rStyle w:val="Hyperlink"/>
            <w:rFonts w:cs="Times New Roman"/>
            <w:i/>
            <w:sz w:val="20"/>
            <w:szCs w:val="20"/>
          </w:rPr>
          <w:t>http://stats.oecd.org/glossary/detail.asp?ID=6120</w:t>
        </w:r>
      </w:hyperlink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) </w:t>
      </w:r>
    </w:p>
  </w:footnote>
  <w:footnote w:id="2">
    <w:p w14:paraId="6FEB051F" w14:textId="4EB19232" w:rsidR="006B0DF1" w:rsidRPr="00170259" w:rsidRDefault="006B0DF1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„Curriculumul </w:t>
      </w:r>
      <w:proofErr w:type="spellStart"/>
      <w:r w:rsidRPr="00407BAD">
        <w:rPr>
          <w:rFonts w:cs="Times New Roman"/>
          <w:b/>
          <w:color w:val="17365D" w:themeColor="text2" w:themeShade="BF"/>
          <w:sz w:val="20"/>
          <w:szCs w:val="20"/>
        </w:rPr>
        <w:t>naţional</w:t>
      </w:r>
      <w:proofErr w:type="spellEnd"/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” 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pentru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timpurie este centrat pe dezvoltarea fizică, cognitivă,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emoţională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socială a copiilor, respectiv pe remedierea precoce a eventualelor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deficienţe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dezvoltare. Curriculumul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naţional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reprezintă ansamblul coerent al planurilor-cadru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învăţământ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al programelor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şcolare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din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învăţământul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preuniversitar.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3">
    <w:p w14:paraId="2586D74E" w14:textId="0504CE81" w:rsidR="0043010A" w:rsidRPr="00407BAD" w:rsidRDefault="006B0DF1" w:rsidP="0043010A">
      <w:pPr>
        <w:spacing w:after="0" w:line="240" w:lineRule="auto"/>
        <w:jc w:val="both"/>
        <w:rPr>
          <w:rFonts w:cs="Times New Roman"/>
          <w:color w:val="FF0000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sz w:val="20"/>
          <w:szCs w:val="20"/>
        </w:rPr>
        <w:t xml:space="preserve">„Cadrul curricular </w:t>
      </w:r>
      <w:proofErr w:type="spellStart"/>
      <w:r w:rsidRPr="00407BAD">
        <w:rPr>
          <w:rFonts w:cs="Times New Roman"/>
          <w:b/>
          <w:sz w:val="20"/>
          <w:szCs w:val="20"/>
        </w:rPr>
        <w:t>naţional</w:t>
      </w:r>
      <w:proofErr w:type="spellEnd"/>
      <w:r w:rsidRPr="00407BAD">
        <w:rPr>
          <w:rFonts w:cs="Times New Roman"/>
          <w:b/>
          <w:sz w:val="20"/>
          <w:szCs w:val="20"/>
        </w:rPr>
        <w:t>”</w:t>
      </w:r>
      <w:r w:rsidRPr="00407BAD">
        <w:rPr>
          <w:rStyle w:val="Referinnotdesubsol"/>
          <w:rFonts w:cs="Times New Roman"/>
          <w:b/>
          <w:sz w:val="20"/>
          <w:szCs w:val="20"/>
        </w:rPr>
        <w:footnoteRef/>
      </w:r>
      <w:r w:rsidRPr="00407BAD">
        <w:rPr>
          <w:rFonts w:cs="Times New Roman"/>
          <w:b/>
          <w:sz w:val="20"/>
          <w:szCs w:val="20"/>
        </w:rPr>
        <w:t>:</w:t>
      </w:r>
      <w:r w:rsidRPr="00407BAD">
        <w:rPr>
          <w:rFonts w:cs="Times New Roman"/>
          <w:sz w:val="20"/>
          <w:szCs w:val="20"/>
        </w:rPr>
        <w:t xml:space="preserve"> </w:t>
      </w:r>
      <w:r w:rsidR="001F6DC4" w:rsidRPr="00407BAD">
        <w:rPr>
          <w:rFonts w:cs="Times New Roman"/>
          <w:sz w:val="20"/>
          <w:szCs w:val="20"/>
        </w:rPr>
        <w:t>a se vedea definiția de la pct.10.</w:t>
      </w:r>
      <w:r w:rsidRPr="00407BAD">
        <w:rPr>
          <w:rFonts w:cs="Times New Roman"/>
          <w:sz w:val="20"/>
          <w:szCs w:val="20"/>
        </w:rPr>
        <w:t xml:space="preserve">  </w:t>
      </w:r>
    </w:p>
  </w:footnote>
  <w:footnote w:id="4">
    <w:p w14:paraId="40FEA322" w14:textId="2472EB14" w:rsidR="0043010A" w:rsidRPr="00170259" w:rsidRDefault="0043010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”Personalul din </w:t>
      </w:r>
      <w:proofErr w:type="spellStart"/>
      <w:r w:rsidRPr="00407BAD">
        <w:rPr>
          <w:rFonts w:cs="Times New Roman"/>
          <w:b/>
          <w:color w:val="17365D" w:themeColor="text2" w:themeShade="BF"/>
          <w:sz w:val="20"/>
          <w:szCs w:val="20"/>
        </w:rPr>
        <w:t>învăţământul</w:t>
      </w:r>
      <w:proofErr w:type="spellEnd"/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 preuniversitar”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este format din personal didactic, personal didactic auxiliar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personal administrativ sau nedidactic.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5">
    <w:p w14:paraId="311E178D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sz w:val="20"/>
          <w:szCs w:val="20"/>
          <w:lang w:val="en-US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”Personalul didactic”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cuprinde persoanele din sistemul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învăţământ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responsabile cu instruirea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. Din categoria personalului didactic pot face parte persoanele care îndeplinesc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condiţiile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studii prevăzute de lege, care au capacitatea de exercitare deplină a drepturilor, o conduită morală conformă deontologiei profesionale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sunt apte din punct de vedere medical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psihologic pentru îndeplinirea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funcţiei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6">
    <w:p w14:paraId="03C52C91" w14:textId="67B12B4A" w:rsidR="0043010A" w:rsidRPr="00170259" w:rsidRDefault="0043010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”Personalul didactic auxiliar”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este format din: a) bibliotecar, documentarist, redactor; b) informatician; c) laborant; d) tehnician; e) pedagog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şcolar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; f) instructor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extraşcolară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; g) asistent social; h) corepetitor; i) mediator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şcolar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; j) secretar; k) administrator financiar (contabil); l) instructor-animator; m) administrator de patrimoniu.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7">
    <w:p w14:paraId="71530058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„Programele de formare“: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dezvoltarea profesională a personalului didactic, de conducere, de îndrumare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control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recalificarea profesională sunt fundamentate pe standardele profesionale pentru profesia didactică, standarde de calitate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profesionale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au următoarele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finalităţi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generale: </w:t>
      </w:r>
    </w:p>
    <w:p w14:paraId="184130A0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a) actualizarea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dezvoltarea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în domeniul de specializare corespunzător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funcţiei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didactice ocupate, precum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în domeniul psihopedagogic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metodic; </w:t>
      </w:r>
    </w:p>
    <w:p w14:paraId="17F318F5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b) dezvoltarea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pentru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evoluţia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în cariera didactică, prin sistemul de pregătire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obţinere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 gradelor didactice; </w:t>
      </w:r>
    </w:p>
    <w:p w14:paraId="641136A2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c) dobândirea sau dezvoltarea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conducere, de îndrumare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control; </w:t>
      </w:r>
    </w:p>
    <w:p w14:paraId="0369D792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d) dobândirea de noi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, prin programe de conversie pentru noi specializări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/sau ocuparea de noi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funcţii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didactice, altele decât cele ocupate în baza formării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iniţiale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; </w:t>
      </w:r>
    </w:p>
    <w:p w14:paraId="0E7FB30A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e) dobândirea unor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complementare prin care se extinde categoria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activităţi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ce pot fi prestate în activitatea curentă, cum ar fi predarea asistată de calculator, predarea în limbi străine, consilierea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educaţională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orientarea în carieră,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adulţilor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altele; </w:t>
      </w:r>
    </w:p>
    <w:p w14:paraId="5404468C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f) dezvoltarea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extinderea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transversale privind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interacţiunea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comunicarea cu mediul social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cu mediul pedagogic, asumarea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responsabilităţi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privind organizarea, conducerea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îmbunătăţirea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performanţei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strategice a grupurilor profesionale, autocontrolul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analiza reflexivă a propriei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activităţi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altele.</w:t>
      </w:r>
    </w:p>
    <w:p w14:paraId="549982B5" w14:textId="12D6AB99" w:rsidR="0043010A" w:rsidRPr="00170259" w:rsidRDefault="0043010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: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8">
    <w:p w14:paraId="28F4AAD0" w14:textId="7060A35D" w:rsidR="0043010A" w:rsidRPr="00407BAD" w:rsidRDefault="0043010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„Schimburi de bune practici”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reprezintă schimburi prin care se promovează exemple de metode de lucru acceptate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promovate ca fiind bune de utilizat în special în anumite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situaţii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Glosar de termeni tehnici folosiți în învățământul tehnic și profesional din România - </w:t>
      </w:r>
      <w:hyperlink r:id="rId2" w:history="1">
        <w:r w:rsidRPr="00407BAD">
          <w:rPr>
            <w:rStyle w:val="Hyperlink"/>
            <w:rFonts w:cs="Times New Roman"/>
            <w:i/>
            <w:sz w:val="20"/>
            <w:szCs w:val="20"/>
          </w:rPr>
          <w:t>http://www.tvet.ro/Anexe/x/Glossary%20Eng-Rom.pdf</w:t>
        </w:r>
      </w:hyperlink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 </w:t>
      </w:r>
    </w:p>
  </w:footnote>
  <w:footnote w:id="9">
    <w:p w14:paraId="5A3B7998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b/>
          <w:sz w:val="20"/>
          <w:szCs w:val="20"/>
        </w:rPr>
        <w:footnoteRef/>
      </w:r>
      <w:r w:rsidRPr="00407BAD">
        <w:rPr>
          <w:rFonts w:cs="Times New Roman"/>
          <w:b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”</w:t>
      </w:r>
      <w:proofErr w:type="spellStart"/>
      <w:r w:rsidRPr="00407BAD">
        <w:rPr>
          <w:rFonts w:cs="Times New Roman"/>
          <w:b/>
          <w:color w:val="17365D" w:themeColor="text2" w:themeShade="BF"/>
          <w:sz w:val="20"/>
          <w:szCs w:val="20"/>
        </w:rPr>
        <w:t>Competenţele</w:t>
      </w:r>
      <w:proofErr w:type="spellEnd"/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 profesionale” 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reprezintă ansamblul unitar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dinamic al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cunoştinţelor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abilităţilor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. Sistemul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cuprinde cinci categorii fundamentale: </w:t>
      </w:r>
    </w:p>
    <w:p w14:paraId="36B4A26C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a)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profesionale: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cognitive,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funcţional-acţionale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; </w:t>
      </w:r>
    </w:p>
    <w:p w14:paraId="4AC7D9C8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b)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complementare: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digitale,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lingvistice,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consiliere; </w:t>
      </w:r>
    </w:p>
    <w:p w14:paraId="6FFAB19C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c)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transversale: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rol,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dezvoltare personală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profesională; </w:t>
      </w:r>
    </w:p>
    <w:p w14:paraId="7F7C9359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d)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conducere, de îndrumare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control; </w:t>
      </w:r>
    </w:p>
    <w:p w14:paraId="692DA9E7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e)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dobândite prin programe de conversie profesională.</w:t>
      </w:r>
    </w:p>
    <w:p w14:paraId="69D602F4" w14:textId="5081CDC5" w:rsidR="0043010A" w:rsidRPr="00170259" w:rsidRDefault="0043010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Metodologia privind formarea continuă a personalului din </w:t>
      </w:r>
      <w:proofErr w:type="spellStart"/>
      <w:r w:rsidRPr="00407BAD">
        <w:rPr>
          <w:rFonts w:cs="Times New Roman"/>
          <w:i/>
          <w:color w:val="17365D" w:themeColor="text2" w:themeShade="BF"/>
          <w:sz w:val="20"/>
          <w:szCs w:val="20"/>
        </w:rPr>
        <w:t>învăţământul</w:t>
      </w:r>
      <w:proofErr w:type="spellEnd"/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 preuniversitar din 07.10.2011, cu modificările și completările ulterioare</w:t>
      </w:r>
    </w:p>
  </w:footnote>
  <w:footnote w:id="10">
    <w:p w14:paraId="523C4C0A" w14:textId="77777777" w:rsidR="0043010A" w:rsidRPr="00407BAD" w:rsidRDefault="0043010A" w:rsidP="0043010A">
      <w:pPr>
        <w:spacing w:after="0" w:line="240" w:lineRule="auto"/>
        <w:jc w:val="both"/>
        <w:rPr>
          <w:rFonts w:cs="Times New Roman"/>
          <w:sz w:val="20"/>
          <w:szCs w:val="20"/>
          <w:lang w:val="en-US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„Certificarea”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reprezintă procesul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recunoaştere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înregistrare oficială a realizării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competenţei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persoanelor care au studiat prin furnizarea unei dovezi documentare. În acest caz acordarea certificatului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competenţă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se bazează pe evaluarea a ceea ce candidatul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ştie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să facă în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condiţii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reale de muncă.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Glosar de termeni tehnici folosiți în învățământul tehnic și profesional din România - </w:t>
      </w:r>
      <w:hyperlink r:id="rId3" w:history="1">
        <w:r w:rsidRPr="00407BAD">
          <w:rPr>
            <w:rStyle w:val="Hyperlink"/>
            <w:rFonts w:cs="Times New Roman"/>
            <w:i/>
            <w:sz w:val="20"/>
            <w:szCs w:val="20"/>
          </w:rPr>
          <w:t>http://www.tvet.ro/Anexe/x/Glossary%20Eng-Rom.pdf</w:t>
        </w:r>
      </w:hyperlink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 și Metodologia privind formarea continuă a personalului din </w:t>
      </w:r>
      <w:proofErr w:type="spellStart"/>
      <w:r w:rsidRPr="00407BAD">
        <w:rPr>
          <w:rFonts w:cs="Times New Roman"/>
          <w:i/>
          <w:color w:val="17365D" w:themeColor="text2" w:themeShade="BF"/>
          <w:sz w:val="20"/>
          <w:szCs w:val="20"/>
        </w:rPr>
        <w:t>învăţământul</w:t>
      </w:r>
      <w:proofErr w:type="spellEnd"/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 preuniversitar din 07.10.2011, cu modificările și completările ulterioare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F8CEB" w14:textId="77777777" w:rsidR="00170259" w:rsidRDefault="0017025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AD7CF" w14:textId="77777777" w:rsidR="00170259" w:rsidRDefault="00170259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31726" w14:textId="77777777" w:rsidR="00170259" w:rsidRDefault="0017025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5pt;height:11.5pt" o:bullet="t">
        <v:imagedata r:id="rId1" o:title="mso1D71"/>
      </v:shape>
    </w:pict>
  </w:numPicBullet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4D34AF0"/>
    <w:multiLevelType w:val="hybridMultilevel"/>
    <w:tmpl w:val="4C886E0C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">
    <w:nsid w:val="0CC5020A"/>
    <w:multiLevelType w:val="hybridMultilevel"/>
    <w:tmpl w:val="CA163FCA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A5AB0"/>
    <w:multiLevelType w:val="hybridMultilevel"/>
    <w:tmpl w:val="9986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31100"/>
    <w:multiLevelType w:val="hybridMultilevel"/>
    <w:tmpl w:val="E2C433B2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6">
    <w:nsid w:val="1D463583"/>
    <w:multiLevelType w:val="hybridMultilevel"/>
    <w:tmpl w:val="41EE99E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B57EB"/>
    <w:multiLevelType w:val="hybridMultilevel"/>
    <w:tmpl w:val="222C431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EA4C43"/>
    <w:multiLevelType w:val="hybridMultilevel"/>
    <w:tmpl w:val="D21C16D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20E9B"/>
    <w:multiLevelType w:val="hybridMultilevel"/>
    <w:tmpl w:val="0624D16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D22EC"/>
    <w:multiLevelType w:val="hybridMultilevel"/>
    <w:tmpl w:val="F6E2F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B356E"/>
    <w:multiLevelType w:val="hybridMultilevel"/>
    <w:tmpl w:val="C20A72A4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354BC"/>
    <w:multiLevelType w:val="hybridMultilevel"/>
    <w:tmpl w:val="047EBC0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6525B"/>
    <w:multiLevelType w:val="hybridMultilevel"/>
    <w:tmpl w:val="77509BE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80A9A"/>
    <w:multiLevelType w:val="hybridMultilevel"/>
    <w:tmpl w:val="B660F0F0"/>
    <w:lvl w:ilvl="0" w:tplc="146014B0">
      <w:start w:val="1"/>
      <w:numFmt w:val="bullet"/>
      <w:lvlText w:val=""/>
      <w:lvlJc w:val="left"/>
      <w:pPr>
        <w:ind w:left="765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34854"/>
    <w:multiLevelType w:val="hybridMultilevel"/>
    <w:tmpl w:val="E250CE7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022D2"/>
    <w:multiLevelType w:val="hybridMultilevel"/>
    <w:tmpl w:val="1F0C717E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2B29AC"/>
    <w:multiLevelType w:val="hybridMultilevel"/>
    <w:tmpl w:val="C0B6BD8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CF2FC8"/>
    <w:multiLevelType w:val="hybridMultilevel"/>
    <w:tmpl w:val="A63E0A8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BD4138"/>
    <w:multiLevelType w:val="hybridMultilevel"/>
    <w:tmpl w:val="7B38B3BA"/>
    <w:lvl w:ilvl="0" w:tplc="146014B0">
      <w:start w:val="1"/>
      <w:numFmt w:val="bullet"/>
      <w:lvlText w:val=""/>
      <w:lvlJc w:val="left"/>
      <w:pPr>
        <w:ind w:left="6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2">
    <w:nsid w:val="58127255"/>
    <w:multiLevelType w:val="hybridMultilevel"/>
    <w:tmpl w:val="CCD8F730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3">
    <w:nsid w:val="590154BA"/>
    <w:multiLevelType w:val="hybridMultilevel"/>
    <w:tmpl w:val="6DF832B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CF2256"/>
    <w:multiLevelType w:val="hybridMultilevel"/>
    <w:tmpl w:val="0B26F30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E07775"/>
    <w:multiLevelType w:val="hybridMultilevel"/>
    <w:tmpl w:val="3EB8A4F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7126B"/>
    <w:multiLevelType w:val="hybridMultilevel"/>
    <w:tmpl w:val="AF725A0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64C4B"/>
    <w:multiLevelType w:val="hybridMultilevel"/>
    <w:tmpl w:val="609E1BE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36CAB"/>
    <w:multiLevelType w:val="hybridMultilevel"/>
    <w:tmpl w:val="2F96E29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CB022F"/>
    <w:multiLevelType w:val="hybridMultilevel"/>
    <w:tmpl w:val="E5AED59E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8"/>
  </w:num>
  <w:num w:numId="5">
    <w:abstractNumId w:val="3"/>
  </w:num>
  <w:num w:numId="6">
    <w:abstractNumId w:val="0"/>
  </w:num>
  <w:num w:numId="7">
    <w:abstractNumId w:val="19"/>
  </w:num>
  <w:num w:numId="8">
    <w:abstractNumId w:val="16"/>
  </w:num>
  <w:num w:numId="9">
    <w:abstractNumId w:val="25"/>
  </w:num>
  <w:num w:numId="10">
    <w:abstractNumId w:val="23"/>
  </w:num>
  <w:num w:numId="11">
    <w:abstractNumId w:val="20"/>
  </w:num>
  <w:num w:numId="12">
    <w:abstractNumId w:val="21"/>
  </w:num>
  <w:num w:numId="13">
    <w:abstractNumId w:val="11"/>
  </w:num>
  <w:num w:numId="14">
    <w:abstractNumId w:val="9"/>
  </w:num>
  <w:num w:numId="15">
    <w:abstractNumId w:val="12"/>
  </w:num>
  <w:num w:numId="16">
    <w:abstractNumId w:val="2"/>
  </w:num>
  <w:num w:numId="17">
    <w:abstractNumId w:val="7"/>
  </w:num>
  <w:num w:numId="18">
    <w:abstractNumId w:val="31"/>
  </w:num>
  <w:num w:numId="19">
    <w:abstractNumId w:val="22"/>
  </w:num>
  <w:num w:numId="20">
    <w:abstractNumId w:val="1"/>
  </w:num>
  <w:num w:numId="21">
    <w:abstractNumId w:val="6"/>
  </w:num>
  <w:num w:numId="22">
    <w:abstractNumId w:val="15"/>
  </w:num>
  <w:num w:numId="23">
    <w:abstractNumId w:val="27"/>
  </w:num>
  <w:num w:numId="24">
    <w:abstractNumId w:val="30"/>
  </w:num>
  <w:num w:numId="25">
    <w:abstractNumId w:val="18"/>
  </w:num>
  <w:num w:numId="26">
    <w:abstractNumId w:val="29"/>
  </w:num>
  <w:num w:numId="27">
    <w:abstractNumId w:val="5"/>
  </w:num>
  <w:num w:numId="28">
    <w:abstractNumId w:val="10"/>
  </w:num>
  <w:num w:numId="29">
    <w:abstractNumId w:val="4"/>
  </w:num>
  <w:num w:numId="30">
    <w:abstractNumId w:val="17"/>
  </w:num>
  <w:num w:numId="31">
    <w:abstractNumId w:val="2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14EF3"/>
    <w:rsid w:val="000241B2"/>
    <w:rsid w:val="00037FA4"/>
    <w:rsid w:val="00046A51"/>
    <w:rsid w:val="00057836"/>
    <w:rsid w:val="0005790F"/>
    <w:rsid w:val="00060F74"/>
    <w:rsid w:val="000675BE"/>
    <w:rsid w:val="00076143"/>
    <w:rsid w:val="000927E5"/>
    <w:rsid w:val="000978D3"/>
    <w:rsid w:val="000A046E"/>
    <w:rsid w:val="000D2CA5"/>
    <w:rsid w:val="000F079B"/>
    <w:rsid w:val="001005BA"/>
    <w:rsid w:val="001115B4"/>
    <w:rsid w:val="00131225"/>
    <w:rsid w:val="00134D20"/>
    <w:rsid w:val="00157B25"/>
    <w:rsid w:val="00170259"/>
    <w:rsid w:val="001821B4"/>
    <w:rsid w:val="001858BE"/>
    <w:rsid w:val="001972AC"/>
    <w:rsid w:val="001A3B84"/>
    <w:rsid w:val="001B088E"/>
    <w:rsid w:val="001B6D11"/>
    <w:rsid w:val="001E4692"/>
    <w:rsid w:val="001F6DC4"/>
    <w:rsid w:val="00201563"/>
    <w:rsid w:val="00201824"/>
    <w:rsid w:val="00230DB2"/>
    <w:rsid w:val="0023134A"/>
    <w:rsid w:val="002616A7"/>
    <w:rsid w:val="00297157"/>
    <w:rsid w:val="002A63C3"/>
    <w:rsid w:val="002C3357"/>
    <w:rsid w:val="002C492A"/>
    <w:rsid w:val="002D3618"/>
    <w:rsid w:val="002E5906"/>
    <w:rsid w:val="002E7C11"/>
    <w:rsid w:val="002F0C34"/>
    <w:rsid w:val="00321234"/>
    <w:rsid w:val="00330E58"/>
    <w:rsid w:val="00350FF6"/>
    <w:rsid w:val="003618E8"/>
    <w:rsid w:val="003B3CE1"/>
    <w:rsid w:val="003B4AC9"/>
    <w:rsid w:val="003B7D5F"/>
    <w:rsid w:val="003D4CD8"/>
    <w:rsid w:val="003D6F7A"/>
    <w:rsid w:val="003F77F1"/>
    <w:rsid w:val="004072E3"/>
    <w:rsid w:val="00407BAD"/>
    <w:rsid w:val="0043010A"/>
    <w:rsid w:val="004371A5"/>
    <w:rsid w:val="00437A26"/>
    <w:rsid w:val="00460CE5"/>
    <w:rsid w:val="0046524C"/>
    <w:rsid w:val="00486ECB"/>
    <w:rsid w:val="0049752A"/>
    <w:rsid w:val="004A3C38"/>
    <w:rsid w:val="004A41AD"/>
    <w:rsid w:val="004A7389"/>
    <w:rsid w:val="004C1A23"/>
    <w:rsid w:val="004C511A"/>
    <w:rsid w:val="004D1A76"/>
    <w:rsid w:val="004D29AE"/>
    <w:rsid w:val="005070C6"/>
    <w:rsid w:val="005167C9"/>
    <w:rsid w:val="005216E4"/>
    <w:rsid w:val="005368B1"/>
    <w:rsid w:val="00563534"/>
    <w:rsid w:val="00571089"/>
    <w:rsid w:val="0057480C"/>
    <w:rsid w:val="005A01EC"/>
    <w:rsid w:val="005C65C7"/>
    <w:rsid w:val="005D1224"/>
    <w:rsid w:val="005D1BB2"/>
    <w:rsid w:val="005D2F1A"/>
    <w:rsid w:val="005E628B"/>
    <w:rsid w:val="005F2822"/>
    <w:rsid w:val="00620E85"/>
    <w:rsid w:val="00695171"/>
    <w:rsid w:val="006B0DF1"/>
    <w:rsid w:val="006B5C42"/>
    <w:rsid w:val="006C699B"/>
    <w:rsid w:val="006C7854"/>
    <w:rsid w:val="006D3494"/>
    <w:rsid w:val="006E05C7"/>
    <w:rsid w:val="006E0D54"/>
    <w:rsid w:val="00701288"/>
    <w:rsid w:val="00707A74"/>
    <w:rsid w:val="00746BEA"/>
    <w:rsid w:val="00773142"/>
    <w:rsid w:val="007C2418"/>
    <w:rsid w:val="007F7B61"/>
    <w:rsid w:val="0081002E"/>
    <w:rsid w:val="008233FB"/>
    <w:rsid w:val="008252D4"/>
    <w:rsid w:val="008350C0"/>
    <w:rsid w:val="00854121"/>
    <w:rsid w:val="00854898"/>
    <w:rsid w:val="00862843"/>
    <w:rsid w:val="0087640C"/>
    <w:rsid w:val="00876A67"/>
    <w:rsid w:val="008B7E5B"/>
    <w:rsid w:val="008C274B"/>
    <w:rsid w:val="008C4C3D"/>
    <w:rsid w:val="008C6918"/>
    <w:rsid w:val="008D1CAB"/>
    <w:rsid w:val="008D759E"/>
    <w:rsid w:val="008E20F2"/>
    <w:rsid w:val="008E46F1"/>
    <w:rsid w:val="008F1A39"/>
    <w:rsid w:val="008F27F9"/>
    <w:rsid w:val="008F4AD9"/>
    <w:rsid w:val="009208F8"/>
    <w:rsid w:val="00923077"/>
    <w:rsid w:val="00953283"/>
    <w:rsid w:val="00960CEE"/>
    <w:rsid w:val="009940BE"/>
    <w:rsid w:val="00994186"/>
    <w:rsid w:val="009A6243"/>
    <w:rsid w:val="009D2269"/>
    <w:rsid w:val="00A22855"/>
    <w:rsid w:val="00A311DD"/>
    <w:rsid w:val="00A31973"/>
    <w:rsid w:val="00A4365C"/>
    <w:rsid w:val="00A54295"/>
    <w:rsid w:val="00A602BD"/>
    <w:rsid w:val="00A65F92"/>
    <w:rsid w:val="00AA025A"/>
    <w:rsid w:val="00AA1824"/>
    <w:rsid w:val="00AA19E4"/>
    <w:rsid w:val="00AC3A2C"/>
    <w:rsid w:val="00AE3D62"/>
    <w:rsid w:val="00B013DA"/>
    <w:rsid w:val="00B1480C"/>
    <w:rsid w:val="00B170D3"/>
    <w:rsid w:val="00B251B4"/>
    <w:rsid w:val="00B30901"/>
    <w:rsid w:val="00B31DF7"/>
    <w:rsid w:val="00B76A8B"/>
    <w:rsid w:val="00B92C71"/>
    <w:rsid w:val="00B94DC6"/>
    <w:rsid w:val="00BA362B"/>
    <w:rsid w:val="00BA52E2"/>
    <w:rsid w:val="00BC48C0"/>
    <w:rsid w:val="00BD02D7"/>
    <w:rsid w:val="00BE1256"/>
    <w:rsid w:val="00BE7363"/>
    <w:rsid w:val="00BF0C21"/>
    <w:rsid w:val="00C053AF"/>
    <w:rsid w:val="00C10518"/>
    <w:rsid w:val="00C1055A"/>
    <w:rsid w:val="00C255A0"/>
    <w:rsid w:val="00C30B3E"/>
    <w:rsid w:val="00C47144"/>
    <w:rsid w:val="00C771FF"/>
    <w:rsid w:val="00C809C4"/>
    <w:rsid w:val="00CD6BEA"/>
    <w:rsid w:val="00CE3C1A"/>
    <w:rsid w:val="00CE4E2D"/>
    <w:rsid w:val="00CE6F37"/>
    <w:rsid w:val="00CF6CDF"/>
    <w:rsid w:val="00D3150D"/>
    <w:rsid w:val="00D60850"/>
    <w:rsid w:val="00D64836"/>
    <w:rsid w:val="00D71EDD"/>
    <w:rsid w:val="00DA4B4C"/>
    <w:rsid w:val="00DB6EEE"/>
    <w:rsid w:val="00DC1D80"/>
    <w:rsid w:val="00E02972"/>
    <w:rsid w:val="00E24453"/>
    <w:rsid w:val="00E329FA"/>
    <w:rsid w:val="00E45EC3"/>
    <w:rsid w:val="00E460E7"/>
    <w:rsid w:val="00E52982"/>
    <w:rsid w:val="00E71A2B"/>
    <w:rsid w:val="00E733A7"/>
    <w:rsid w:val="00E86C95"/>
    <w:rsid w:val="00EE02B5"/>
    <w:rsid w:val="00EE1A64"/>
    <w:rsid w:val="00EF0F27"/>
    <w:rsid w:val="00EF7B48"/>
    <w:rsid w:val="00F10095"/>
    <w:rsid w:val="00F41BA5"/>
    <w:rsid w:val="00F51876"/>
    <w:rsid w:val="00F60382"/>
    <w:rsid w:val="00F67044"/>
    <w:rsid w:val="00F721DD"/>
    <w:rsid w:val="00F860C5"/>
    <w:rsid w:val="00F863C8"/>
    <w:rsid w:val="00F92FDC"/>
    <w:rsid w:val="00FC21CE"/>
    <w:rsid w:val="00FD443F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C0A4D"/>
  <w15:docId w15:val="{E4DE82A5-B689-495C-AADE-81295555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gril1">
    <w:name w:val="Tabel grilă1"/>
    <w:basedOn w:val="TabelNormal"/>
    <w:next w:val="Tabelgril"/>
    <w:uiPriority w:val="59"/>
    <w:rsid w:val="00E24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sid w:val="00E2445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2445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2445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2445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24453"/>
    <w:rPr>
      <w:b/>
      <w:bCs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AA0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vet.ro/Anexe/x/Glossary%20Eng-Rom.pdf" TargetMode="External"/><Relationship Id="rId2" Type="http://schemas.openxmlformats.org/officeDocument/2006/relationships/hyperlink" Target="http://www.tvet.ro/Anexe/x/Glossary%20Eng-Rom.pdf" TargetMode="External"/><Relationship Id="rId1" Type="http://schemas.openxmlformats.org/officeDocument/2006/relationships/hyperlink" Target="http://stats.oecd.org/glossary/detail.asp?ID=612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4F8D-2635-4C19-BF12-2EE63507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452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FGG</dc:creator>
  <cp:lastModifiedBy>daniel chitoi</cp:lastModifiedBy>
  <cp:revision>11</cp:revision>
  <dcterms:created xsi:type="dcterms:W3CDTF">2018-06-14T13:10:00Z</dcterms:created>
  <dcterms:modified xsi:type="dcterms:W3CDTF">2018-07-10T14:46:00Z</dcterms:modified>
</cp:coreProperties>
</file>